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D1103" w14:textId="3A3D8181" w:rsidR="00B956DF" w:rsidRPr="00B956DF" w:rsidRDefault="00B956DF" w:rsidP="00B956DF">
      <w:pPr>
        <w:tabs>
          <w:tab w:val="center" w:pos="4536"/>
          <w:tab w:val="right" w:pos="7938"/>
          <w:tab w:val="right" w:pos="9639"/>
        </w:tabs>
        <w:overflowPunct/>
        <w:autoSpaceDE/>
        <w:autoSpaceDN/>
        <w:adjustRightInd/>
        <w:spacing w:after="0"/>
        <w:ind w:right="2"/>
        <w:textAlignment w:val="auto"/>
        <w:rPr>
          <w:rFonts w:ascii="Arial" w:eastAsia="Malgun Gothic" w:hAnsi="Arial" w:cs="Arial"/>
          <w:b/>
          <w:bCs/>
          <w:sz w:val="24"/>
          <w:szCs w:val="22"/>
          <w:lang w:val="en-US" w:eastAsia="zh-CN"/>
        </w:rPr>
      </w:pPr>
      <w:r w:rsidRPr="00B956DF">
        <w:rPr>
          <w:rFonts w:ascii="Arial" w:eastAsia="Malgun Gothic" w:hAnsi="Arial" w:cs="Arial"/>
          <w:b/>
          <w:bCs/>
          <w:sz w:val="24"/>
          <w:szCs w:val="22"/>
          <w:lang w:val="en-US" w:eastAsia="zh-CN"/>
        </w:rPr>
        <w:t>3GPP TSG RAN WG1 #112</w:t>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B956DF">
        <w:rPr>
          <w:rFonts w:ascii="Arial" w:eastAsia="Malgun Gothic" w:hAnsi="Arial" w:cs="Arial"/>
          <w:b/>
          <w:bCs/>
          <w:sz w:val="24"/>
          <w:szCs w:val="22"/>
          <w:lang w:val="en-US" w:eastAsia="zh-CN"/>
        </w:rPr>
        <w:tab/>
      </w:r>
      <w:r w:rsidRPr="00D61DBB">
        <w:rPr>
          <w:rFonts w:ascii="Arial" w:eastAsia="Malgun Gothic" w:hAnsi="Arial" w:cs="Arial"/>
          <w:b/>
          <w:bCs/>
          <w:sz w:val="24"/>
          <w:szCs w:val="22"/>
          <w:lang w:val="en-US" w:eastAsia="zh-CN"/>
        </w:rPr>
        <w:t>R1-230</w:t>
      </w:r>
      <w:r w:rsidR="00D61DBB">
        <w:rPr>
          <w:rFonts w:ascii="Arial" w:eastAsia="Malgun Gothic" w:hAnsi="Arial" w:cs="Arial"/>
          <w:b/>
          <w:bCs/>
          <w:sz w:val="24"/>
          <w:szCs w:val="22"/>
          <w:lang w:val="en-US" w:eastAsia="zh-CN"/>
        </w:rPr>
        <w:t>1322</w:t>
      </w:r>
    </w:p>
    <w:p w14:paraId="26C26AA5" w14:textId="77777777" w:rsidR="00B956DF" w:rsidRPr="00B956DF" w:rsidRDefault="00B956DF" w:rsidP="00B956DF">
      <w:pPr>
        <w:tabs>
          <w:tab w:val="center" w:pos="4536"/>
          <w:tab w:val="right" w:pos="9072"/>
        </w:tabs>
        <w:overflowPunct/>
        <w:autoSpaceDE/>
        <w:autoSpaceDN/>
        <w:adjustRightInd/>
        <w:spacing w:after="0"/>
        <w:textAlignment w:val="auto"/>
        <w:rPr>
          <w:rFonts w:ascii="Arial" w:eastAsia="MS Mincho" w:hAnsi="Arial" w:cs="Arial"/>
          <w:b/>
          <w:bCs/>
          <w:sz w:val="24"/>
          <w:szCs w:val="22"/>
          <w:lang w:val="en-US" w:eastAsia="ja-JP"/>
        </w:rPr>
      </w:pPr>
      <w:r w:rsidRPr="00B956DF">
        <w:rPr>
          <w:rFonts w:ascii="Arial" w:eastAsia="MS Mincho" w:hAnsi="Arial" w:cs="Arial"/>
          <w:b/>
          <w:bCs/>
          <w:sz w:val="24"/>
          <w:szCs w:val="22"/>
          <w:lang w:val="en-US" w:eastAsia="ja-JP"/>
        </w:rPr>
        <w:t>Athens, Greece, February 27</w:t>
      </w:r>
      <w:r w:rsidRPr="00B956DF">
        <w:rPr>
          <w:rFonts w:ascii="Arial" w:eastAsia="MS Mincho" w:hAnsi="Arial" w:cs="Arial"/>
          <w:b/>
          <w:bCs/>
          <w:sz w:val="24"/>
          <w:szCs w:val="22"/>
          <w:vertAlign w:val="superscript"/>
          <w:lang w:val="en-US" w:eastAsia="ja-JP"/>
        </w:rPr>
        <w:t>th</w:t>
      </w:r>
      <w:r w:rsidRPr="00B956DF">
        <w:rPr>
          <w:rFonts w:ascii="Arial" w:eastAsia="MS Mincho" w:hAnsi="Arial" w:cs="Arial"/>
          <w:b/>
          <w:bCs/>
          <w:sz w:val="24"/>
          <w:szCs w:val="22"/>
          <w:lang w:val="en-US" w:eastAsia="ja-JP"/>
        </w:rPr>
        <w:t xml:space="preserve"> – March 3</w:t>
      </w:r>
      <w:r w:rsidRPr="00B956DF">
        <w:rPr>
          <w:rFonts w:ascii="Arial" w:eastAsia="MS Mincho" w:hAnsi="Arial" w:cs="Arial"/>
          <w:b/>
          <w:bCs/>
          <w:sz w:val="24"/>
          <w:szCs w:val="22"/>
          <w:vertAlign w:val="superscript"/>
          <w:lang w:val="en-US" w:eastAsia="ja-JP"/>
        </w:rPr>
        <w:t>rd</w:t>
      </w:r>
      <w:r w:rsidRPr="00B956DF">
        <w:rPr>
          <w:rFonts w:ascii="Arial" w:eastAsia="MS Mincho" w:hAnsi="Arial" w:cs="Arial"/>
          <w:b/>
          <w:bCs/>
          <w:sz w:val="24"/>
          <w:szCs w:val="22"/>
          <w:lang w:val="en-US" w:eastAsia="ja-JP"/>
        </w:rPr>
        <w:t>, 2023</w:t>
      </w:r>
    </w:p>
    <w:p w14:paraId="2CFE1919" w14:textId="75F6DC2F" w:rsidR="00850D96" w:rsidRPr="00B956DF" w:rsidRDefault="00850D96" w:rsidP="00CA26CE">
      <w:pPr>
        <w:pStyle w:val="Header"/>
        <w:rPr>
          <w:rFonts w:ascii="Times New Roman" w:hAnsi="Times New Roman"/>
          <w:bCs/>
          <w:noProof w:val="0"/>
          <w:sz w:val="24"/>
          <w:lang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6F02745B" w:rsidR="00390F36" w:rsidRPr="00CE30E7" w:rsidRDefault="00390F36" w:rsidP="002C3195">
      <w:pPr>
        <w:pStyle w:val="3GPPHeader"/>
        <w:ind w:left="1700" w:hanging="1700"/>
      </w:pPr>
      <w:r w:rsidRPr="00CE30E7">
        <w:t>Title:</w:t>
      </w:r>
      <w:r w:rsidRPr="00CE30E7">
        <w:tab/>
      </w:r>
      <w:r w:rsidRPr="007A0A4F">
        <w:t xml:space="preserve">Discussion on </w:t>
      </w:r>
      <w:r>
        <w:t xml:space="preserve">RAN2 </w:t>
      </w:r>
      <w:r w:rsidRPr="007A0A4F">
        <w:t xml:space="preserve">LS on </w:t>
      </w:r>
      <w:r w:rsidR="002C3195">
        <w:t xml:space="preserve">Default CBR Configuration </w:t>
      </w:r>
      <w:r>
        <w:t xml:space="preserv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1A0BE2A8" w14:textId="7E58E632" w:rsidR="002C3195" w:rsidRPr="00F2263B" w:rsidRDefault="008E4BD2" w:rsidP="00601729">
      <w:pPr>
        <w:jc w:val="both"/>
        <w:rPr>
          <w:sz w:val="24"/>
          <w:szCs w:val="24"/>
        </w:rPr>
      </w:pPr>
      <w:r w:rsidRPr="00601729">
        <w:rPr>
          <w:sz w:val="24"/>
          <w:szCs w:val="24"/>
        </w:rPr>
        <w:t xml:space="preserve">RAN2 sent a </w:t>
      </w:r>
      <w:proofErr w:type="gramStart"/>
      <w:r w:rsidR="00B956DF">
        <w:rPr>
          <w:sz w:val="24"/>
          <w:szCs w:val="24"/>
        </w:rPr>
        <w:t>reply</w:t>
      </w:r>
      <w:proofErr w:type="gramEnd"/>
      <w:r w:rsidR="00B956DF">
        <w:rPr>
          <w:sz w:val="24"/>
          <w:szCs w:val="24"/>
        </w:rPr>
        <w:t xml:space="preserve"> </w:t>
      </w:r>
      <w:r w:rsidRPr="00601729">
        <w:rPr>
          <w:sz w:val="24"/>
          <w:szCs w:val="24"/>
        </w:rPr>
        <w:t xml:space="preserve">LS on </w:t>
      </w:r>
      <w:r w:rsidR="002C3195">
        <w:rPr>
          <w:sz w:val="24"/>
          <w:szCs w:val="24"/>
        </w:rPr>
        <w:t xml:space="preserve">default CBR configuration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a question is asked: “when UE performs full sensing in R16/17 normal resource pool and has full sensing result available, is it a valid case that UE has no CBR measurement results and makes use of R16 default CBR for congestion control?” </w:t>
      </w:r>
    </w:p>
    <w:p w14:paraId="7DF5F9CE" w14:textId="1C7EAF56" w:rsidR="007E2446" w:rsidRPr="00601729" w:rsidRDefault="008E4BD2" w:rsidP="00601729">
      <w:pPr>
        <w:jc w:val="both"/>
        <w:rPr>
          <w:rFonts w:eastAsia="PMingLiU"/>
          <w:sz w:val="24"/>
          <w:szCs w:val="24"/>
          <w:lang w:eastAsia="zh-TW"/>
        </w:rPr>
      </w:pPr>
      <w:r w:rsidRPr="00601729">
        <w:rPr>
          <w:sz w:val="24"/>
          <w:szCs w:val="24"/>
          <w:lang w:eastAsia="x-none"/>
        </w:rPr>
        <w:t>In this c</w:t>
      </w:r>
      <w:r w:rsidR="00B956DF">
        <w:rPr>
          <w:sz w:val="24"/>
          <w:szCs w:val="24"/>
          <w:lang w:eastAsia="x-none"/>
        </w:rPr>
        <w:t>o</w:t>
      </w:r>
      <w:r w:rsidRPr="00601729">
        <w:rPr>
          <w:sz w:val="24"/>
          <w:szCs w:val="24"/>
          <w:lang w:eastAsia="x-none"/>
        </w:rPr>
        <w:t xml:space="preserve">ntribution, we discuss the </w:t>
      </w:r>
      <w:r w:rsidR="00B956DF">
        <w:rPr>
          <w:sz w:val="24"/>
          <w:szCs w:val="24"/>
          <w:lang w:eastAsia="x-none"/>
        </w:rPr>
        <w:t xml:space="preserve">validity of the case asked by </w:t>
      </w:r>
      <w:r w:rsidR="002C3195">
        <w:rPr>
          <w:rFonts w:eastAsiaTheme="minorEastAsia"/>
          <w:sz w:val="24"/>
          <w:szCs w:val="24"/>
        </w:rPr>
        <w:t xml:space="preserve">RAN2 </w:t>
      </w:r>
      <w:r w:rsidR="00B956DF">
        <w:rPr>
          <w:rFonts w:eastAsiaTheme="minorEastAsia"/>
          <w:sz w:val="24"/>
          <w:szCs w:val="24"/>
        </w:rPr>
        <w:t xml:space="preserve">reply </w:t>
      </w:r>
      <w:r w:rsidR="002C3195">
        <w:rPr>
          <w:rFonts w:eastAsiaTheme="minorEastAsia"/>
          <w:sz w:val="24"/>
          <w:szCs w:val="24"/>
        </w:rPr>
        <w:t>LS</w:t>
      </w:r>
      <w:r w:rsidR="00601729" w:rsidRPr="00601729">
        <w:rPr>
          <w:rFonts w:eastAsiaTheme="minorEastAsia"/>
          <w:sz w:val="24"/>
          <w:szCs w:val="24"/>
        </w:rPr>
        <w:t xml:space="preserve">. </w:t>
      </w:r>
      <w:r w:rsidRPr="00601729">
        <w:rPr>
          <w:rFonts w:eastAsia="PMingLiU"/>
          <w:sz w:val="24"/>
          <w:szCs w:val="24"/>
          <w:lang w:eastAsia="zh-TW"/>
        </w:rPr>
        <w:t xml:space="preserve"> </w:t>
      </w:r>
    </w:p>
    <w:p w14:paraId="691B73BE" w14:textId="1497A29B" w:rsidR="00390F36" w:rsidRDefault="00390F36" w:rsidP="00390F36">
      <w:pPr>
        <w:pStyle w:val="Heading1"/>
      </w:pPr>
      <w:r>
        <w:t>Discussion</w:t>
      </w:r>
    </w:p>
    <w:p w14:paraId="6E51D561" w14:textId="2FAE2B35" w:rsidR="00F2263B" w:rsidRDefault="00F2263B" w:rsidP="00601729">
      <w:pPr>
        <w:jc w:val="both"/>
        <w:rPr>
          <w:sz w:val="24"/>
          <w:szCs w:val="24"/>
        </w:rPr>
      </w:pPr>
      <w:r>
        <w:rPr>
          <w:sz w:val="24"/>
          <w:szCs w:val="24"/>
        </w:rPr>
        <w:t xml:space="preserve">In RAN2 </w:t>
      </w:r>
      <w:r w:rsidR="00B956DF">
        <w:rPr>
          <w:sz w:val="24"/>
          <w:szCs w:val="24"/>
        </w:rPr>
        <w:t xml:space="preserve">reply </w:t>
      </w:r>
      <w:r>
        <w:rPr>
          <w:sz w:val="24"/>
          <w:szCs w:val="24"/>
        </w:rPr>
        <w:t>LS on default CBR configuration</w:t>
      </w:r>
      <w:r w:rsidR="00B956DF">
        <w:rPr>
          <w:sz w:val="24"/>
          <w:szCs w:val="24"/>
        </w:rPr>
        <w:t>, it is mentioned that RAN2 discussed the different use cases of R16/17 default CBR parameters and reach the following agreement:</w:t>
      </w:r>
    </w:p>
    <w:tbl>
      <w:tblPr>
        <w:tblStyle w:val="TableGrid"/>
        <w:tblW w:w="0" w:type="auto"/>
        <w:tblLook w:val="04A0" w:firstRow="1" w:lastRow="0" w:firstColumn="1" w:lastColumn="0" w:noHBand="0" w:noVBand="1"/>
      </w:tblPr>
      <w:tblGrid>
        <w:gridCol w:w="9629"/>
      </w:tblGrid>
      <w:tr w:rsidR="00B956DF" w14:paraId="6508FE22" w14:textId="77777777" w:rsidTr="00B956DF">
        <w:trPr>
          <w:trHeight w:val="2289"/>
        </w:trPr>
        <w:tc>
          <w:tcPr>
            <w:tcW w:w="9629" w:type="dxa"/>
          </w:tcPr>
          <w:p w14:paraId="1789BDE4" w14:textId="49D546D9" w:rsidR="00B956DF" w:rsidRPr="00024155" w:rsidRDefault="00B956DF" w:rsidP="00B956DF">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[Proposal 18] Changes related to default CBR parameters are postponed to next meeting. (6/10)</w:t>
            </w:r>
          </w:p>
          <w:p w14:paraId="1A4689B4" w14:textId="77777777" w:rsidR="00B956DF" w:rsidRPr="00024155" w:rsidRDefault="00B956DF" w:rsidP="00B956DF">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val="en-US" w:eastAsia="en-GB"/>
              </w:rPr>
            </w:pPr>
            <w:r w:rsidRPr="00024155">
              <w:rPr>
                <w:rFonts w:ascii="Arial" w:eastAsia="MS Mincho" w:hAnsi="Arial"/>
                <w:szCs w:val="24"/>
                <w:lang w:val="en-US" w:eastAsia="en-GB"/>
              </w:rPr>
              <w:t>[Session chair]: Check companies’ understanding (assuming R17 default CBR is configured)</w:t>
            </w:r>
          </w:p>
          <w:p w14:paraId="1F1D88DF" w14:textId="77777777" w:rsidR="00B956DF" w:rsidRPr="00024155" w:rsidRDefault="00B956DF" w:rsidP="00B956DF">
            <w:pPr>
              <w:numPr>
                <w:ilvl w:val="0"/>
                <w:numId w:val="16"/>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val="en-US" w:eastAsia="en-GB"/>
              </w:rPr>
            </w:pPr>
            <w:r w:rsidRPr="00024155">
              <w:rPr>
                <w:rFonts w:ascii="Arial" w:eastAsia="MS Mincho" w:hAnsi="Arial"/>
                <w:szCs w:val="24"/>
                <w:lang w:val="en-US" w:eastAsia="en-GB"/>
              </w:rPr>
              <w:t>Case 1: partial sensing, R17 normal pool, R17 default CBR – partial</w:t>
            </w:r>
          </w:p>
          <w:p w14:paraId="4B189B9E" w14:textId="77777777" w:rsidR="00B956DF" w:rsidRPr="00024155" w:rsidRDefault="00B956DF" w:rsidP="00B956DF">
            <w:pPr>
              <w:numPr>
                <w:ilvl w:val="0"/>
                <w:numId w:val="16"/>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val="en-US" w:eastAsia="en-GB"/>
              </w:rPr>
            </w:pPr>
            <w:r w:rsidRPr="00024155">
              <w:rPr>
                <w:rFonts w:ascii="Arial" w:eastAsia="MS Mincho" w:hAnsi="Arial"/>
                <w:szCs w:val="24"/>
                <w:lang w:val="en-US" w:eastAsia="en-GB"/>
              </w:rPr>
              <w:t>Case 2a: random selection, R17 normal pool, R17 default CBR – random</w:t>
            </w:r>
          </w:p>
          <w:p w14:paraId="0A16D69E" w14:textId="77777777" w:rsidR="00B956DF" w:rsidRPr="00024155" w:rsidRDefault="00B956DF" w:rsidP="00B956DF">
            <w:pPr>
              <w:numPr>
                <w:ilvl w:val="0"/>
                <w:numId w:val="16"/>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val="en-US" w:eastAsia="en-GB"/>
              </w:rPr>
            </w:pPr>
            <w:r w:rsidRPr="00024155">
              <w:rPr>
                <w:rFonts w:ascii="Arial" w:eastAsia="MS Mincho" w:hAnsi="Arial"/>
                <w:szCs w:val="24"/>
                <w:lang w:val="en-US" w:eastAsia="en-GB"/>
              </w:rPr>
              <w:t>Case 2b: random selection, R16/17 exceptional pool, R16 default CBR</w:t>
            </w:r>
          </w:p>
          <w:p w14:paraId="29341330" w14:textId="77777777" w:rsidR="00B956DF" w:rsidRPr="00F45CF0" w:rsidRDefault="00B956DF" w:rsidP="00B956DF">
            <w:pPr>
              <w:numPr>
                <w:ilvl w:val="0"/>
                <w:numId w:val="16"/>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highlight w:val="yellow"/>
                <w:lang w:val="en-US" w:eastAsia="en-GB"/>
              </w:rPr>
            </w:pPr>
            <w:r w:rsidRPr="00F45CF0">
              <w:rPr>
                <w:rFonts w:ascii="Arial" w:eastAsia="MS Mincho" w:hAnsi="Arial"/>
                <w:szCs w:val="24"/>
                <w:highlight w:val="yellow"/>
                <w:lang w:val="en-US" w:eastAsia="en-GB"/>
              </w:rPr>
              <w:t>Case 3: full sensing, R16/17 normal pool, R16 default CBR or invalid case?</w:t>
            </w:r>
          </w:p>
          <w:p w14:paraId="4DD0DD39" w14:textId="77777777" w:rsidR="00B956DF" w:rsidRPr="00024155" w:rsidRDefault="00B956DF" w:rsidP="00B956DF">
            <w:pPr>
              <w:pBdr>
                <w:top w:val="single" w:sz="4" w:space="1" w:color="auto"/>
                <w:left w:val="single" w:sz="4" w:space="4" w:color="auto"/>
                <w:bottom w:val="single" w:sz="4" w:space="1" w:color="auto"/>
                <w:right w:val="single" w:sz="4" w:space="4" w:color="auto"/>
              </w:pBdr>
              <w:tabs>
                <w:tab w:val="left" w:pos="426"/>
              </w:tabs>
              <w:rPr>
                <w:rFonts w:ascii="Arial" w:eastAsia="MS Mincho" w:hAnsi="Arial"/>
                <w:szCs w:val="24"/>
                <w:lang w:eastAsia="en-GB"/>
              </w:rPr>
            </w:pPr>
          </w:p>
          <w:p w14:paraId="06401F9A" w14:textId="1F8926A9" w:rsidR="00B956DF" w:rsidRPr="00B956DF" w:rsidRDefault="00B956DF" w:rsidP="00B956DF">
            <w:pPr>
              <w:numPr>
                <w:ilvl w:val="0"/>
                <w:numId w:val="17"/>
              </w:numPr>
              <w:pBdr>
                <w:top w:val="single" w:sz="4" w:space="1" w:color="auto"/>
                <w:left w:val="single" w:sz="4" w:space="4" w:color="auto"/>
                <w:bottom w:val="single" w:sz="4" w:space="1" w:color="auto"/>
                <w:right w:val="single" w:sz="4" w:space="4" w:color="auto"/>
              </w:pBdr>
              <w:tabs>
                <w:tab w:val="left" w:pos="426"/>
              </w:tabs>
              <w:overflowPunct/>
              <w:autoSpaceDE/>
              <w:autoSpaceDN/>
              <w:adjustRightInd/>
              <w:spacing w:after="0"/>
              <w:ind w:left="0" w:firstLine="0"/>
              <w:textAlignment w:val="auto"/>
              <w:rPr>
                <w:rFonts w:ascii="Arial" w:eastAsia="MS Mincho" w:hAnsi="Arial"/>
                <w:szCs w:val="24"/>
                <w:lang w:eastAsia="en-GB"/>
              </w:rPr>
            </w:pPr>
            <w:r w:rsidRPr="00024155">
              <w:rPr>
                <w:rFonts w:ascii="Arial" w:eastAsia="MS Mincho" w:hAnsi="Arial"/>
                <w:szCs w:val="24"/>
                <w:lang w:eastAsia="en-GB"/>
              </w:rPr>
              <w:t xml:space="preserve">Case 1, 2a, 2b are confirmed. Case 3 will be revisited next meeting. </w:t>
            </w:r>
          </w:p>
        </w:tc>
      </w:tr>
    </w:tbl>
    <w:p w14:paraId="3C6CD8DD" w14:textId="77777777" w:rsidR="00B956DF" w:rsidRDefault="00B956DF" w:rsidP="00601729">
      <w:pPr>
        <w:jc w:val="both"/>
        <w:rPr>
          <w:sz w:val="24"/>
          <w:szCs w:val="24"/>
        </w:rPr>
      </w:pPr>
    </w:p>
    <w:p w14:paraId="184FCD60" w14:textId="45E31359" w:rsidR="00B956DF" w:rsidRDefault="00B956DF" w:rsidP="00601729">
      <w:pPr>
        <w:jc w:val="both"/>
        <w:rPr>
          <w:bCs/>
          <w:sz w:val="24"/>
          <w:szCs w:val="24"/>
          <w:lang w:eastAsia="zh-CN"/>
        </w:rPr>
      </w:pPr>
      <w:r w:rsidRPr="00B956DF">
        <w:rPr>
          <w:sz w:val="24"/>
          <w:szCs w:val="24"/>
        </w:rPr>
        <w:t>RAN2 further discuss</w:t>
      </w:r>
      <w:r>
        <w:rPr>
          <w:sz w:val="24"/>
          <w:szCs w:val="24"/>
        </w:rPr>
        <w:t>ed</w:t>
      </w:r>
      <w:r w:rsidRPr="00B956DF">
        <w:rPr>
          <w:sz w:val="24"/>
          <w:szCs w:val="24"/>
        </w:rPr>
        <w:t xml:space="preserve"> Case 3 and ask</w:t>
      </w:r>
      <w:r w:rsidR="00862671">
        <w:rPr>
          <w:sz w:val="24"/>
          <w:szCs w:val="24"/>
        </w:rPr>
        <w:t>ed</w:t>
      </w:r>
      <w:r w:rsidRPr="00B956DF">
        <w:rPr>
          <w:sz w:val="24"/>
          <w:szCs w:val="24"/>
        </w:rPr>
        <w:t xml:space="preserve"> </w:t>
      </w:r>
      <w:r>
        <w:rPr>
          <w:sz w:val="24"/>
          <w:szCs w:val="24"/>
        </w:rPr>
        <w:t xml:space="preserve">the </w:t>
      </w:r>
      <w:proofErr w:type="spellStart"/>
      <w:r>
        <w:rPr>
          <w:sz w:val="24"/>
          <w:szCs w:val="24"/>
        </w:rPr>
        <w:t>the</w:t>
      </w:r>
      <w:proofErr w:type="spellEnd"/>
      <w:r>
        <w:rPr>
          <w:sz w:val="24"/>
          <w:szCs w:val="24"/>
        </w:rPr>
        <w:t xml:space="preserve"> validity of the case where UE has no CBR measurement results and makes use of R16 default CBR for congestion control when </w:t>
      </w:r>
      <w:r w:rsidRPr="00B956DF">
        <w:rPr>
          <w:bCs/>
          <w:sz w:val="24"/>
          <w:szCs w:val="24"/>
          <w:lang w:eastAsia="zh-CN"/>
        </w:rPr>
        <w:t>UE performs full sensing in R16/17 normal resource pool and has full sensing result available</w:t>
      </w:r>
      <w:r>
        <w:rPr>
          <w:bCs/>
          <w:sz w:val="24"/>
          <w:szCs w:val="24"/>
          <w:lang w:eastAsia="zh-CN"/>
        </w:rPr>
        <w:t xml:space="preserve">. </w:t>
      </w:r>
    </w:p>
    <w:p w14:paraId="6FB74486" w14:textId="51550DE0" w:rsidR="00B956DF" w:rsidRDefault="00B956DF" w:rsidP="00601729">
      <w:pPr>
        <w:jc w:val="both"/>
        <w:rPr>
          <w:bCs/>
          <w:sz w:val="24"/>
          <w:szCs w:val="24"/>
          <w:lang w:eastAsia="zh-CN"/>
        </w:rPr>
      </w:pPr>
      <w:r>
        <w:rPr>
          <w:bCs/>
          <w:sz w:val="24"/>
          <w:szCs w:val="24"/>
          <w:lang w:eastAsia="zh-CN"/>
        </w:rPr>
        <w:t>In our view, it is still</w:t>
      </w:r>
      <w:r w:rsidR="00862671">
        <w:rPr>
          <w:bCs/>
          <w:sz w:val="24"/>
          <w:szCs w:val="24"/>
          <w:lang w:eastAsia="zh-CN"/>
        </w:rPr>
        <w:t xml:space="preserve"> a</w:t>
      </w:r>
      <w:r>
        <w:rPr>
          <w:bCs/>
          <w:sz w:val="24"/>
          <w:szCs w:val="24"/>
          <w:lang w:eastAsia="zh-CN"/>
        </w:rPr>
        <w:t xml:space="preserve"> valid case </w:t>
      </w:r>
      <w:r w:rsidR="00154495">
        <w:rPr>
          <w:bCs/>
          <w:sz w:val="24"/>
          <w:szCs w:val="24"/>
          <w:lang w:eastAsia="zh-CN"/>
        </w:rPr>
        <w:t xml:space="preserve">when UE performs full sensing in R16/17 normal resource pool and has full sensing result available, but UE has no CBR measurement results and makes use of R16 default CBR for congestion control. </w:t>
      </w:r>
    </w:p>
    <w:p w14:paraId="15104F76" w14:textId="439EE952" w:rsidR="00700DB2" w:rsidRDefault="00646460" w:rsidP="00601729">
      <w:pPr>
        <w:jc w:val="both"/>
        <w:rPr>
          <w:bCs/>
          <w:sz w:val="24"/>
          <w:szCs w:val="24"/>
          <w:lang w:eastAsia="zh-CN"/>
        </w:rPr>
      </w:pPr>
      <w:r>
        <w:rPr>
          <w:bCs/>
          <w:sz w:val="24"/>
          <w:szCs w:val="24"/>
          <w:lang w:eastAsia="zh-CN"/>
        </w:rPr>
        <w:t>The default CBR parameter is used to derive the TX parameters (MCS, sub</w:t>
      </w:r>
      <w:r w:rsidR="007E015A">
        <w:rPr>
          <w:bCs/>
          <w:sz w:val="24"/>
          <w:szCs w:val="24"/>
          <w:lang w:eastAsia="zh-CN"/>
        </w:rPr>
        <w:t>-</w:t>
      </w:r>
      <w:r>
        <w:rPr>
          <w:bCs/>
          <w:sz w:val="24"/>
          <w:szCs w:val="24"/>
          <w:lang w:eastAsia="zh-CN"/>
        </w:rPr>
        <w:t xml:space="preserve">channel number, Tx power, </w:t>
      </w:r>
      <w:r w:rsidR="007E015A">
        <w:rPr>
          <w:bCs/>
          <w:sz w:val="24"/>
          <w:szCs w:val="24"/>
          <w:lang w:eastAsia="zh-CN"/>
        </w:rPr>
        <w:t>number</w:t>
      </w:r>
      <w:r>
        <w:rPr>
          <w:bCs/>
          <w:sz w:val="24"/>
          <w:szCs w:val="24"/>
          <w:lang w:eastAsia="zh-CN"/>
        </w:rPr>
        <w:t xml:space="preserve"> of HARQ)</w:t>
      </w:r>
      <w:r w:rsidR="007E015A">
        <w:rPr>
          <w:bCs/>
          <w:sz w:val="24"/>
          <w:szCs w:val="24"/>
          <w:lang w:eastAsia="zh-CN"/>
        </w:rPr>
        <w:t>,</w:t>
      </w:r>
      <w:r>
        <w:rPr>
          <w:bCs/>
          <w:sz w:val="24"/>
          <w:szCs w:val="24"/>
          <w:lang w:eastAsia="zh-CN"/>
        </w:rPr>
        <w:t xml:space="preserve"> which are to be used in the sensing and resource selection procedure when the CBR measurement is not available. </w:t>
      </w:r>
    </w:p>
    <w:p w14:paraId="45640561" w14:textId="3E4B329E" w:rsidR="00154495" w:rsidRDefault="00646460" w:rsidP="00601729">
      <w:pPr>
        <w:jc w:val="both"/>
        <w:rPr>
          <w:bCs/>
          <w:sz w:val="24"/>
          <w:szCs w:val="24"/>
          <w:lang w:eastAsia="zh-CN"/>
        </w:rPr>
      </w:pPr>
      <w:r>
        <w:rPr>
          <w:bCs/>
          <w:sz w:val="24"/>
          <w:szCs w:val="24"/>
          <w:lang w:eastAsia="zh-CN"/>
        </w:rPr>
        <w:t xml:space="preserve">Consider </w:t>
      </w:r>
      <w:r w:rsidR="00700DB2">
        <w:rPr>
          <w:bCs/>
          <w:sz w:val="24"/>
          <w:szCs w:val="24"/>
          <w:lang w:eastAsia="zh-CN"/>
        </w:rPr>
        <w:t>a</w:t>
      </w:r>
      <w:r>
        <w:rPr>
          <w:bCs/>
          <w:sz w:val="24"/>
          <w:szCs w:val="24"/>
          <w:lang w:eastAsia="zh-CN"/>
        </w:rPr>
        <w:t xml:space="preserve"> scenario</w:t>
      </w:r>
      <w:r w:rsidR="00063A77">
        <w:rPr>
          <w:bCs/>
          <w:sz w:val="24"/>
          <w:szCs w:val="24"/>
          <w:lang w:eastAsia="zh-CN"/>
        </w:rPr>
        <w:t xml:space="preserve"> where both</w:t>
      </w:r>
      <w:r>
        <w:rPr>
          <w:bCs/>
          <w:sz w:val="24"/>
          <w:szCs w:val="24"/>
          <w:lang w:eastAsia="zh-CN"/>
        </w:rPr>
        <w:t xml:space="preserve"> sensing window and CBR measurement window are </w:t>
      </w:r>
      <w:r w:rsidR="00063A77">
        <w:rPr>
          <w:bCs/>
          <w:sz w:val="24"/>
          <w:szCs w:val="24"/>
          <w:lang w:eastAsia="zh-CN"/>
        </w:rPr>
        <w:t xml:space="preserve">configured to be 100 </w:t>
      </w:r>
      <w:proofErr w:type="spellStart"/>
      <w:r w:rsidR="00063A77">
        <w:rPr>
          <w:bCs/>
          <w:sz w:val="24"/>
          <w:szCs w:val="24"/>
          <w:lang w:eastAsia="zh-CN"/>
        </w:rPr>
        <w:t>ms</w:t>
      </w:r>
      <w:proofErr w:type="spellEnd"/>
      <w:r w:rsidR="00063A77">
        <w:rPr>
          <w:bCs/>
          <w:sz w:val="24"/>
          <w:szCs w:val="24"/>
          <w:lang w:eastAsia="zh-CN"/>
        </w:rPr>
        <w:t>. Suppose the sidelink sub-carrier spacing</w:t>
      </w:r>
      <w:r w:rsidR="001F7A87">
        <w:rPr>
          <w:bCs/>
          <w:sz w:val="24"/>
          <w:szCs w:val="24"/>
          <w:lang w:eastAsia="zh-CN"/>
        </w:rPr>
        <w:t xml:space="preserve"> (SCS)</w:t>
      </w:r>
      <w:r w:rsidR="00063A77">
        <w:rPr>
          <w:bCs/>
          <w:sz w:val="24"/>
          <w:szCs w:val="24"/>
          <w:lang w:eastAsia="zh-CN"/>
        </w:rPr>
        <w:t xml:space="preserve"> is 15 kHz. A UE starts to monitor sidelink channels at slot #0 and triggers the resource selection procedure</w:t>
      </w:r>
      <w:r w:rsidR="00F43811">
        <w:rPr>
          <w:bCs/>
          <w:sz w:val="24"/>
          <w:szCs w:val="24"/>
          <w:lang w:eastAsia="zh-CN"/>
        </w:rPr>
        <w:t xml:space="preserve"> (i.e., slot </w:t>
      </w:r>
      <m:oMath>
        <m:r>
          <w:rPr>
            <w:rFonts w:ascii="Cambria Math" w:hAnsi="Cambria Math"/>
            <w:sz w:val="24"/>
            <w:szCs w:val="24"/>
            <w:lang w:eastAsia="zh-CN"/>
          </w:rPr>
          <m:t>n</m:t>
        </m:r>
      </m:oMath>
      <w:r w:rsidR="00F43811">
        <w:rPr>
          <w:bCs/>
          <w:sz w:val="24"/>
          <w:szCs w:val="24"/>
          <w:lang w:eastAsia="zh-CN"/>
        </w:rPr>
        <w:t>)</w:t>
      </w:r>
      <w:r w:rsidR="00063A77">
        <w:rPr>
          <w:bCs/>
          <w:sz w:val="24"/>
          <w:szCs w:val="24"/>
          <w:lang w:eastAsia="zh-CN"/>
        </w:rPr>
        <w:t xml:space="preserve"> at slot #100. The sensing results processing time </w:t>
      </w:r>
      <m:oMath>
        <m:sSubSup>
          <m:sSubSupPr>
            <m:ctrlPr>
              <w:rPr>
                <w:rFonts w:ascii="Cambria Math" w:hAnsi="Cambria Math"/>
                <w:bCs/>
                <w:i/>
                <w:sz w:val="24"/>
                <w:szCs w:val="24"/>
                <w:lang w:eastAsia="zh-CN"/>
              </w:rPr>
            </m:ctrlPr>
          </m:sSubSupPr>
          <m:e>
            <m:r>
              <w:rPr>
                <w:rFonts w:ascii="Cambria Math" w:hAnsi="Cambria Math"/>
                <w:sz w:val="24"/>
                <w:szCs w:val="24"/>
                <w:lang w:eastAsia="zh-CN"/>
              </w:rPr>
              <m:t>T</m:t>
            </m:r>
          </m:e>
          <m:sub>
            <m:r>
              <w:rPr>
                <w:rFonts w:ascii="Cambria Math" w:hAnsi="Cambria Math"/>
                <w:sz w:val="24"/>
                <w:szCs w:val="24"/>
                <w:lang w:eastAsia="zh-CN"/>
              </w:rPr>
              <m:t>proc,0</m:t>
            </m:r>
          </m:sub>
          <m:sup>
            <m:r>
              <w:rPr>
                <w:rFonts w:ascii="Cambria Math" w:hAnsi="Cambria Math"/>
                <w:sz w:val="24"/>
                <w:szCs w:val="24"/>
                <w:lang w:eastAsia="zh-CN"/>
              </w:rPr>
              <m:t>SL</m:t>
            </m:r>
          </m:sup>
        </m:sSubSup>
      </m:oMath>
      <w:r w:rsidR="00063A77">
        <w:rPr>
          <w:bCs/>
          <w:sz w:val="24"/>
          <w:szCs w:val="24"/>
          <w:lang w:eastAsia="zh-CN"/>
        </w:rPr>
        <w:t xml:space="preserve"> is 1 slot for 15 kHz</w:t>
      </w:r>
      <w:r w:rsidR="001F7A87">
        <w:rPr>
          <w:bCs/>
          <w:sz w:val="24"/>
          <w:szCs w:val="24"/>
          <w:lang w:eastAsia="zh-CN"/>
        </w:rPr>
        <w:t xml:space="preserve"> SCS</w:t>
      </w:r>
      <w:r w:rsidR="00F43811">
        <w:rPr>
          <w:bCs/>
          <w:sz w:val="24"/>
          <w:szCs w:val="24"/>
          <w:lang w:eastAsia="zh-CN"/>
        </w:rPr>
        <w:t xml:space="preserve"> (cf. Table 8.1.4.1 of </w:t>
      </w:r>
      <w:r w:rsidR="00F43811">
        <w:rPr>
          <w:bCs/>
          <w:sz w:val="24"/>
          <w:szCs w:val="24"/>
          <w:lang w:eastAsia="zh-CN"/>
        </w:rPr>
        <w:fldChar w:fldCharType="begin"/>
      </w:r>
      <w:r w:rsidR="00F43811">
        <w:rPr>
          <w:bCs/>
          <w:sz w:val="24"/>
          <w:szCs w:val="24"/>
          <w:lang w:eastAsia="zh-CN"/>
        </w:rPr>
        <w:instrText xml:space="preserve"> REF _Ref126161714 \r \h </w:instrText>
      </w:r>
      <w:r w:rsidR="00F43811">
        <w:rPr>
          <w:bCs/>
          <w:sz w:val="24"/>
          <w:szCs w:val="24"/>
          <w:lang w:eastAsia="zh-CN"/>
        </w:rPr>
      </w:r>
      <w:r w:rsidR="00F43811">
        <w:rPr>
          <w:bCs/>
          <w:sz w:val="24"/>
          <w:szCs w:val="24"/>
          <w:lang w:eastAsia="zh-CN"/>
        </w:rPr>
        <w:fldChar w:fldCharType="separate"/>
      </w:r>
      <w:r w:rsidR="00AD4347">
        <w:rPr>
          <w:bCs/>
          <w:sz w:val="24"/>
          <w:szCs w:val="24"/>
          <w:lang w:eastAsia="zh-CN"/>
        </w:rPr>
        <w:t>[2]</w:t>
      </w:r>
      <w:r w:rsidR="00F43811">
        <w:rPr>
          <w:bCs/>
          <w:sz w:val="24"/>
          <w:szCs w:val="24"/>
          <w:lang w:eastAsia="zh-CN"/>
        </w:rPr>
        <w:fldChar w:fldCharType="end"/>
      </w:r>
      <w:r w:rsidR="00F43811">
        <w:rPr>
          <w:bCs/>
          <w:sz w:val="24"/>
          <w:szCs w:val="24"/>
          <w:lang w:eastAsia="zh-CN"/>
        </w:rPr>
        <w:t>)</w:t>
      </w:r>
      <w:r w:rsidR="00063A77">
        <w:rPr>
          <w:bCs/>
          <w:sz w:val="24"/>
          <w:szCs w:val="24"/>
          <w:lang w:eastAsia="zh-CN"/>
        </w:rPr>
        <w:t xml:space="preserve">. </w:t>
      </w:r>
      <w:r w:rsidR="001F7A87">
        <w:rPr>
          <w:bCs/>
          <w:sz w:val="24"/>
          <w:szCs w:val="24"/>
          <w:lang w:eastAsia="zh-CN"/>
        </w:rPr>
        <w:t>In other words, t</w:t>
      </w:r>
      <w:r w:rsidR="00063A77">
        <w:rPr>
          <w:bCs/>
          <w:sz w:val="24"/>
          <w:szCs w:val="24"/>
          <w:lang w:eastAsia="zh-CN"/>
        </w:rPr>
        <w:t xml:space="preserve">he </w:t>
      </w:r>
      <w:r w:rsidR="00063A77">
        <w:rPr>
          <w:bCs/>
          <w:sz w:val="24"/>
          <w:szCs w:val="24"/>
          <w:lang w:eastAsia="zh-CN"/>
        </w:rPr>
        <w:lastRenderedPageBreak/>
        <w:t xml:space="preserve">sensing results between slot #0 and slot #99 will be used, which </w:t>
      </w:r>
      <w:r w:rsidR="00F43811">
        <w:rPr>
          <w:bCs/>
          <w:sz w:val="24"/>
          <w:szCs w:val="24"/>
          <w:lang w:eastAsia="zh-CN"/>
        </w:rPr>
        <w:t>satisfies</w:t>
      </w:r>
      <w:r w:rsidR="00063A77">
        <w:rPr>
          <w:bCs/>
          <w:sz w:val="24"/>
          <w:szCs w:val="24"/>
          <w:lang w:eastAsia="zh-CN"/>
        </w:rPr>
        <w:t xml:space="preserve"> the configured sensing window size</w:t>
      </w:r>
      <w:r w:rsidR="00F43811">
        <w:rPr>
          <w:bCs/>
          <w:sz w:val="24"/>
          <w:szCs w:val="24"/>
          <w:lang w:eastAsia="zh-CN"/>
        </w:rPr>
        <w:t xml:space="preserve"> of 100 </w:t>
      </w:r>
      <w:proofErr w:type="spellStart"/>
      <w:r w:rsidR="00F43811">
        <w:rPr>
          <w:bCs/>
          <w:sz w:val="24"/>
          <w:szCs w:val="24"/>
          <w:lang w:eastAsia="zh-CN"/>
        </w:rPr>
        <w:t>ms</w:t>
      </w:r>
      <w:proofErr w:type="spellEnd"/>
      <w:r w:rsidR="00063A77">
        <w:rPr>
          <w:bCs/>
          <w:sz w:val="24"/>
          <w:szCs w:val="24"/>
          <w:lang w:eastAsia="zh-CN"/>
        </w:rPr>
        <w:t xml:space="preserve">. In this case, the UE has enough sensing results. On the other hand, the congestion control processing time </w:t>
      </w:r>
      <m:oMath>
        <m:r>
          <w:rPr>
            <w:rFonts w:ascii="Cambria Math" w:hAnsi="Cambria Math"/>
            <w:sz w:val="24"/>
            <w:szCs w:val="24"/>
            <w:lang w:eastAsia="zh-CN"/>
          </w:rPr>
          <m:t>N</m:t>
        </m:r>
      </m:oMath>
      <w:r w:rsidR="00063A77">
        <w:rPr>
          <w:bCs/>
          <w:sz w:val="24"/>
          <w:szCs w:val="24"/>
          <w:lang w:eastAsia="zh-CN"/>
        </w:rPr>
        <w:t xml:space="preserve"> is 2 slots for 15 kHz</w:t>
      </w:r>
      <w:r w:rsidR="001F7A87">
        <w:rPr>
          <w:bCs/>
          <w:sz w:val="24"/>
          <w:szCs w:val="24"/>
          <w:lang w:eastAsia="zh-CN"/>
        </w:rPr>
        <w:t xml:space="preserve"> SCS</w:t>
      </w:r>
      <w:r w:rsidR="00F43811">
        <w:rPr>
          <w:bCs/>
          <w:sz w:val="24"/>
          <w:szCs w:val="24"/>
          <w:lang w:eastAsia="zh-CN"/>
        </w:rPr>
        <w:t xml:space="preserve"> (cf. Table 8.1.6-1 of </w:t>
      </w:r>
      <w:r w:rsidR="00F43811">
        <w:rPr>
          <w:bCs/>
          <w:sz w:val="24"/>
          <w:szCs w:val="24"/>
          <w:lang w:eastAsia="zh-CN"/>
        </w:rPr>
        <w:fldChar w:fldCharType="begin"/>
      </w:r>
      <w:r w:rsidR="00F43811">
        <w:rPr>
          <w:bCs/>
          <w:sz w:val="24"/>
          <w:szCs w:val="24"/>
          <w:lang w:eastAsia="zh-CN"/>
        </w:rPr>
        <w:instrText xml:space="preserve"> REF _Ref126161714 \r \h </w:instrText>
      </w:r>
      <w:r w:rsidR="00F43811">
        <w:rPr>
          <w:bCs/>
          <w:sz w:val="24"/>
          <w:szCs w:val="24"/>
          <w:lang w:eastAsia="zh-CN"/>
        </w:rPr>
      </w:r>
      <w:r w:rsidR="00F43811">
        <w:rPr>
          <w:bCs/>
          <w:sz w:val="24"/>
          <w:szCs w:val="24"/>
          <w:lang w:eastAsia="zh-CN"/>
        </w:rPr>
        <w:fldChar w:fldCharType="separate"/>
      </w:r>
      <w:r w:rsidR="00AD4347">
        <w:rPr>
          <w:bCs/>
          <w:sz w:val="24"/>
          <w:szCs w:val="24"/>
          <w:lang w:eastAsia="zh-CN"/>
        </w:rPr>
        <w:t>[2]</w:t>
      </w:r>
      <w:r w:rsidR="00F43811">
        <w:rPr>
          <w:bCs/>
          <w:sz w:val="24"/>
          <w:szCs w:val="24"/>
          <w:lang w:eastAsia="zh-CN"/>
        </w:rPr>
        <w:fldChar w:fldCharType="end"/>
      </w:r>
      <w:r w:rsidR="00F43811">
        <w:rPr>
          <w:bCs/>
          <w:sz w:val="24"/>
          <w:szCs w:val="24"/>
          <w:lang w:eastAsia="zh-CN"/>
        </w:rPr>
        <w:t>)</w:t>
      </w:r>
      <w:r w:rsidR="00063A77">
        <w:rPr>
          <w:bCs/>
          <w:sz w:val="24"/>
          <w:szCs w:val="24"/>
          <w:lang w:eastAsia="zh-CN"/>
        </w:rPr>
        <w:t xml:space="preserve">. The CBR measurement results </w:t>
      </w:r>
      <w:r w:rsidR="00F43811">
        <w:rPr>
          <w:bCs/>
          <w:sz w:val="24"/>
          <w:szCs w:val="24"/>
          <w:lang w:eastAsia="zh-CN"/>
        </w:rPr>
        <w:t xml:space="preserve">between slot #0 and slot #98 will be used, which does not satisfy the configured CBR measurement window size of 100 </w:t>
      </w:r>
      <w:proofErr w:type="spellStart"/>
      <w:r w:rsidR="00F43811">
        <w:rPr>
          <w:bCs/>
          <w:sz w:val="24"/>
          <w:szCs w:val="24"/>
          <w:lang w:eastAsia="zh-CN"/>
        </w:rPr>
        <w:t>ms</w:t>
      </w:r>
      <w:proofErr w:type="spellEnd"/>
      <w:r w:rsidR="00F43811">
        <w:rPr>
          <w:bCs/>
          <w:sz w:val="24"/>
          <w:szCs w:val="24"/>
          <w:lang w:eastAsia="zh-CN"/>
        </w:rPr>
        <w:t xml:space="preserve">. </w:t>
      </w:r>
      <w:r w:rsidR="001F7A87">
        <w:rPr>
          <w:bCs/>
          <w:sz w:val="24"/>
          <w:szCs w:val="24"/>
          <w:lang w:eastAsia="zh-CN"/>
        </w:rPr>
        <w:t>In this case</w:t>
      </w:r>
      <w:r w:rsidR="00F43811">
        <w:rPr>
          <w:bCs/>
          <w:sz w:val="24"/>
          <w:szCs w:val="24"/>
          <w:lang w:eastAsia="zh-CN"/>
        </w:rPr>
        <w:t xml:space="preserve">, UE has full </w:t>
      </w:r>
      <w:r w:rsidR="00F43811">
        <w:rPr>
          <w:sz w:val="24"/>
          <w:szCs w:val="24"/>
        </w:rPr>
        <w:t xml:space="preserve">sensing results, but does not have full CBR measurement results. Overall, </w:t>
      </w:r>
      <w:r w:rsidR="001F7A87">
        <w:rPr>
          <w:sz w:val="24"/>
          <w:szCs w:val="24"/>
        </w:rPr>
        <w:t xml:space="preserve">a larger value of </w:t>
      </w:r>
      <w:r w:rsidR="00F43811">
        <w:rPr>
          <w:sz w:val="24"/>
          <w:szCs w:val="24"/>
        </w:rPr>
        <w:t>congestion control processing time</w:t>
      </w:r>
      <w:r w:rsidR="001F7A87">
        <w:rPr>
          <w:sz w:val="24"/>
          <w:szCs w:val="24"/>
        </w:rPr>
        <w:t xml:space="preserve"> </w:t>
      </w:r>
      <m:oMath>
        <m:r>
          <w:rPr>
            <w:rFonts w:ascii="Cambria Math" w:hAnsi="Cambria Math"/>
            <w:sz w:val="24"/>
            <w:szCs w:val="24"/>
          </w:rPr>
          <m:t>N</m:t>
        </m:r>
      </m:oMath>
      <w:r w:rsidR="001F7A87">
        <w:rPr>
          <w:sz w:val="24"/>
          <w:szCs w:val="24"/>
        </w:rPr>
        <w:t>, comparing with the</w:t>
      </w:r>
      <w:r w:rsidR="00F43811">
        <w:rPr>
          <w:sz w:val="24"/>
          <w:szCs w:val="24"/>
        </w:rPr>
        <w:t xml:space="preserve"> </w:t>
      </w:r>
      <w:r w:rsidR="001F7A87">
        <w:rPr>
          <w:sz w:val="24"/>
          <w:szCs w:val="24"/>
        </w:rPr>
        <w:t xml:space="preserve">value of </w:t>
      </w:r>
      <w:r w:rsidR="00F43811">
        <w:rPr>
          <w:sz w:val="24"/>
          <w:szCs w:val="24"/>
        </w:rPr>
        <w:t>sensing results processing time</w:t>
      </w:r>
      <w:r w:rsidR="001F7A87">
        <w:rPr>
          <w:sz w:val="24"/>
          <w:szCs w:val="24"/>
        </w:rPr>
        <w:t xml:space="preserve"> </w:t>
      </w:r>
      <m:oMath>
        <m:sSubSup>
          <m:sSubSupPr>
            <m:ctrlPr>
              <w:rPr>
                <w:rFonts w:ascii="Cambria Math" w:hAnsi="Cambria Math"/>
                <w:bCs/>
                <w:i/>
                <w:sz w:val="24"/>
                <w:szCs w:val="24"/>
                <w:lang w:eastAsia="zh-CN"/>
              </w:rPr>
            </m:ctrlPr>
          </m:sSubSupPr>
          <m:e>
            <m:r>
              <w:rPr>
                <w:rFonts w:ascii="Cambria Math" w:hAnsi="Cambria Math"/>
                <w:sz w:val="24"/>
                <w:szCs w:val="24"/>
                <w:lang w:eastAsia="zh-CN"/>
              </w:rPr>
              <m:t>T</m:t>
            </m:r>
          </m:e>
          <m:sub>
            <m:r>
              <w:rPr>
                <w:rFonts w:ascii="Cambria Math" w:hAnsi="Cambria Math"/>
                <w:sz w:val="24"/>
                <w:szCs w:val="24"/>
                <w:lang w:eastAsia="zh-CN"/>
              </w:rPr>
              <m:t>proc,0</m:t>
            </m:r>
          </m:sub>
          <m:sup>
            <m:r>
              <w:rPr>
                <w:rFonts w:ascii="Cambria Math" w:hAnsi="Cambria Math"/>
                <w:sz w:val="24"/>
                <w:szCs w:val="24"/>
                <w:lang w:eastAsia="zh-CN"/>
              </w:rPr>
              <m:t>SL</m:t>
            </m:r>
          </m:sup>
        </m:sSubSup>
      </m:oMath>
      <w:r w:rsidR="001F7A87">
        <w:rPr>
          <w:bCs/>
          <w:sz w:val="24"/>
          <w:szCs w:val="24"/>
          <w:lang w:eastAsia="zh-CN"/>
        </w:rPr>
        <w:t>,</w:t>
      </w:r>
      <w:r w:rsidR="00F43811">
        <w:rPr>
          <w:sz w:val="24"/>
          <w:szCs w:val="24"/>
        </w:rPr>
        <w:t xml:space="preserve"> may lead to a </w:t>
      </w:r>
      <w:proofErr w:type="gramStart"/>
      <w:r w:rsidR="00F43811">
        <w:rPr>
          <w:sz w:val="24"/>
          <w:szCs w:val="24"/>
        </w:rPr>
        <w:t>small time</w:t>
      </w:r>
      <w:proofErr w:type="gramEnd"/>
      <w:r w:rsidR="00F43811">
        <w:rPr>
          <w:sz w:val="24"/>
          <w:szCs w:val="24"/>
        </w:rPr>
        <w:t xml:space="preserve"> </w:t>
      </w:r>
      <w:r w:rsidR="001F7A87">
        <w:rPr>
          <w:sz w:val="24"/>
          <w:szCs w:val="24"/>
        </w:rPr>
        <w:t>duration</w:t>
      </w:r>
      <w:r w:rsidR="00F43811">
        <w:rPr>
          <w:sz w:val="24"/>
          <w:szCs w:val="24"/>
        </w:rPr>
        <w:t xml:space="preserve"> in which UE has full sensing results but not full </w:t>
      </w:r>
      <w:r w:rsidR="00F43811">
        <w:rPr>
          <w:bCs/>
          <w:sz w:val="24"/>
          <w:szCs w:val="24"/>
          <w:lang w:eastAsia="zh-CN"/>
        </w:rPr>
        <w:t>CBR measurement results.</w:t>
      </w:r>
    </w:p>
    <w:p w14:paraId="04494D8F" w14:textId="345584AD" w:rsidR="00154495" w:rsidRDefault="000547EC" w:rsidP="00601729">
      <w:pPr>
        <w:jc w:val="both"/>
        <w:rPr>
          <w:bCs/>
          <w:sz w:val="24"/>
          <w:szCs w:val="24"/>
          <w:lang w:eastAsia="zh-CN"/>
        </w:rPr>
      </w:pPr>
      <w:r>
        <w:rPr>
          <w:bCs/>
          <w:sz w:val="24"/>
          <w:szCs w:val="24"/>
          <w:lang w:eastAsia="zh-CN"/>
        </w:rPr>
        <w:t>Also, we can c</w:t>
      </w:r>
      <w:r w:rsidR="00862671">
        <w:rPr>
          <w:bCs/>
          <w:sz w:val="24"/>
          <w:szCs w:val="24"/>
          <w:lang w:eastAsia="zh-CN"/>
        </w:rPr>
        <w:t xml:space="preserve">onsider another scenario where a UE has the full sensing results available. However, the sensing results include only SCI decoding and RSRP measurement, but do not include RSSI measurement. Then the UE does not have CBR measurement results which are based </w:t>
      </w:r>
      <w:r w:rsidR="007E2F9F">
        <w:rPr>
          <w:bCs/>
          <w:sz w:val="24"/>
          <w:szCs w:val="24"/>
          <w:lang w:eastAsia="zh-CN"/>
        </w:rPr>
        <w:t xml:space="preserve">on </w:t>
      </w:r>
      <w:r w:rsidR="00862671">
        <w:rPr>
          <w:bCs/>
          <w:sz w:val="24"/>
          <w:szCs w:val="24"/>
          <w:lang w:eastAsia="zh-CN"/>
        </w:rPr>
        <w:t>RSSI measurement. In this case, UE will use the R16 default CBR for congestion control.</w:t>
      </w:r>
    </w:p>
    <w:p w14:paraId="1A1D6705" w14:textId="0A5B11AD" w:rsidR="00862671" w:rsidRDefault="00862671" w:rsidP="00601729">
      <w:pPr>
        <w:jc w:val="both"/>
        <w:rPr>
          <w:bCs/>
          <w:sz w:val="24"/>
          <w:szCs w:val="24"/>
          <w:lang w:eastAsia="zh-CN"/>
        </w:rPr>
      </w:pPr>
      <w:r>
        <w:rPr>
          <w:bCs/>
          <w:sz w:val="24"/>
          <w:szCs w:val="24"/>
          <w:lang w:eastAsia="zh-CN"/>
        </w:rPr>
        <w:t>Overall, we have the following observation:</w:t>
      </w:r>
    </w:p>
    <w:p w14:paraId="70341A7B" w14:textId="47215EE3" w:rsidR="009A707D" w:rsidRDefault="00862671" w:rsidP="009A707D">
      <w:pPr>
        <w:jc w:val="both"/>
        <w:rPr>
          <w:bCs/>
          <w:sz w:val="24"/>
          <w:szCs w:val="24"/>
          <w:lang w:eastAsia="zh-CN"/>
        </w:rPr>
      </w:pPr>
      <w:r w:rsidRPr="00862671">
        <w:rPr>
          <w:b/>
          <w:i/>
          <w:sz w:val="24"/>
          <w:szCs w:val="24"/>
        </w:rPr>
        <w:t>Observation 1:</w:t>
      </w:r>
      <w:r w:rsidRPr="00CC00E8">
        <w:rPr>
          <w:i/>
          <w:sz w:val="24"/>
          <w:szCs w:val="24"/>
          <w:lang w:eastAsia="x-none"/>
        </w:rPr>
        <w:t xml:space="preserve"> </w:t>
      </w:r>
      <w:r>
        <w:rPr>
          <w:i/>
          <w:sz w:val="24"/>
          <w:szCs w:val="24"/>
          <w:lang w:eastAsia="x-none"/>
        </w:rPr>
        <w:t xml:space="preserve">There exist cases where UE performs full sensing in R16/17 normal resource pool and has full sensing result available, but UE has no CBR measurement results and makes use of R16 default CBR for congestion control. </w:t>
      </w:r>
    </w:p>
    <w:p w14:paraId="6641FB3C" w14:textId="0ABE80ED" w:rsidR="00862671" w:rsidRPr="00862671" w:rsidRDefault="00862671" w:rsidP="009A707D">
      <w:pPr>
        <w:jc w:val="both"/>
        <w:rPr>
          <w:iCs/>
          <w:sz w:val="24"/>
          <w:szCs w:val="24"/>
          <w:lang w:eastAsia="x-none"/>
        </w:rPr>
      </w:pPr>
      <w:r>
        <w:rPr>
          <w:iCs/>
          <w:sz w:val="24"/>
          <w:szCs w:val="24"/>
          <w:lang w:eastAsia="x-none"/>
        </w:rPr>
        <w:t xml:space="preserve">The corresponding draft </w:t>
      </w:r>
      <w:proofErr w:type="gramStart"/>
      <w:r>
        <w:rPr>
          <w:iCs/>
          <w:sz w:val="24"/>
          <w:szCs w:val="24"/>
          <w:lang w:eastAsia="x-none"/>
        </w:rPr>
        <w:t>reply</w:t>
      </w:r>
      <w:proofErr w:type="gramEnd"/>
      <w:r>
        <w:rPr>
          <w:iCs/>
          <w:sz w:val="24"/>
          <w:szCs w:val="24"/>
          <w:lang w:eastAsia="x-none"/>
        </w:rPr>
        <w:t xml:space="preserve"> LS on default CBR configuration is in</w:t>
      </w:r>
      <w:r w:rsidR="00AD4347">
        <w:rPr>
          <w:iCs/>
          <w:sz w:val="24"/>
          <w:szCs w:val="24"/>
          <w:lang w:eastAsia="x-none"/>
        </w:rPr>
        <w:t xml:space="preserve"> </w:t>
      </w:r>
      <w:r w:rsidR="00AD4347">
        <w:rPr>
          <w:iCs/>
          <w:sz w:val="24"/>
          <w:szCs w:val="24"/>
          <w:lang w:eastAsia="x-none"/>
        </w:rPr>
        <w:fldChar w:fldCharType="begin"/>
      </w:r>
      <w:r w:rsidR="00AD4347">
        <w:rPr>
          <w:iCs/>
          <w:sz w:val="24"/>
          <w:szCs w:val="24"/>
          <w:lang w:eastAsia="x-none"/>
        </w:rPr>
        <w:instrText xml:space="preserve"> REF _Ref126338945 \r \h </w:instrText>
      </w:r>
      <w:r w:rsidR="00AD4347">
        <w:rPr>
          <w:iCs/>
          <w:sz w:val="24"/>
          <w:szCs w:val="24"/>
          <w:lang w:eastAsia="x-none"/>
        </w:rPr>
      </w:r>
      <w:r w:rsidR="00AD4347">
        <w:rPr>
          <w:iCs/>
          <w:sz w:val="24"/>
          <w:szCs w:val="24"/>
          <w:lang w:eastAsia="x-none"/>
        </w:rPr>
        <w:fldChar w:fldCharType="separate"/>
      </w:r>
      <w:r w:rsidR="00AD4347">
        <w:rPr>
          <w:iCs/>
          <w:sz w:val="24"/>
          <w:szCs w:val="24"/>
          <w:lang w:eastAsia="x-none"/>
        </w:rPr>
        <w:t>[3]</w:t>
      </w:r>
      <w:r w:rsidR="00AD4347">
        <w:rPr>
          <w:iCs/>
          <w:sz w:val="24"/>
          <w:szCs w:val="24"/>
          <w:lang w:eastAsia="x-none"/>
        </w:rPr>
        <w:fldChar w:fldCharType="end"/>
      </w:r>
      <w:r>
        <w:rPr>
          <w:iCs/>
          <w:sz w:val="24"/>
          <w:szCs w:val="24"/>
          <w:lang w:eastAsia="x-none"/>
        </w:rPr>
        <w:t xml:space="preserve">. </w:t>
      </w:r>
    </w:p>
    <w:p w14:paraId="12B33CFD" w14:textId="5D34282C" w:rsidR="00390F36" w:rsidRPr="00A6576F" w:rsidRDefault="00390F36" w:rsidP="00390F36">
      <w:pPr>
        <w:pStyle w:val="Heading1"/>
      </w:pPr>
      <w:r w:rsidRPr="00A6576F">
        <w:t>Conclusion</w:t>
      </w:r>
    </w:p>
    <w:p w14:paraId="3D08BDF3" w14:textId="0052D007" w:rsidR="00BE753A" w:rsidRPr="00BE753A" w:rsidRDefault="00BE753A" w:rsidP="00BE753A">
      <w:pPr>
        <w:jc w:val="both"/>
        <w:rPr>
          <w:sz w:val="24"/>
          <w:szCs w:val="24"/>
        </w:rPr>
      </w:pPr>
      <w:r w:rsidRPr="00BE753A">
        <w:rPr>
          <w:sz w:val="24"/>
          <w:szCs w:val="24"/>
        </w:rPr>
        <w:t xml:space="preserve">In this contribution, we provided our views on </w:t>
      </w:r>
      <w:r w:rsidR="00561FFA">
        <w:rPr>
          <w:sz w:val="24"/>
          <w:szCs w:val="24"/>
        </w:rPr>
        <w:t>default CBR configuration</w:t>
      </w:r>
      <w:r w:rsidRPr="00BE753A">
        <w:rPr>
          <w:sz w:val="24"/>
          <w:szCs w:val="24"/>
        </w:rPr>
        <w:t xml:space="preserve">. Our </w:t>
      </w:r>
      <w:r w:rsidR="00862671">
        <w:rPr>
          <w:sz w:val="24"/>
          <w:szCs w:val="24"/>
        </w:rPr>
        <w:t>observation</w:t>
      </w:r>
      <w:r w:rsidR="00B956DF">
        <w:rPr>
          <w:sz w:val="24"/>
          <w:szCs w:val="24"/>
        </w:rPr>
        <w:t xml:space="preserve"> is </w:t>
      </w:r>
      <w:r w:rsidRPr="00BE753A">
        <w:rPr>
          <w:sz w:val="24"/>
          <w:szCs w:val="24"/>
        </w:rPr>
        <w:t>as follows:</w:t>
      </w:r>
    </w:p>
    <w:p w14:paraId="17430806" w14:textId="0197875B" w:rsidR="00862671" w:rsidRPr="00862671" w:rsidRDefault="00862671" w:rsidP="00862671">
      <w:pPr>
        <w:jc w:val="both"/>
        <w:rPr>
          <w:i/>
          <w:sz w:val="24"/>
          <w:szCs w:val="24"/>
          <w:lang w:eastAsia="x-none"/>
        </w:rPr>
      </w:pPr>
      <w:r w:rsidRPr="00862671">
        <w:rPr>
          <w:b/>
          <w:i/>
          <w:sz w:val="24"/>
          <w:szCs w:val="24"/>
        </w:rPr>
        <w:t>Observation 1:</w:t>
      </w:r>
      <w:r w:rsidRPr="00CC00E8">
        <w:rPr>
          <w:i/>
          <w:sz w:val="24"/>
          <w:szCs w:val="24"/>
          <w:lang w:eastAsia="x-none"/>
        </w:rPr>
        <w:t xml:space="preserve"> </w:t>
      </w:r>
      <w:r>
        <w:rPr>
          <w:i/>
          <w:sz w:val="24"/>
          <w:szCs w:val="24"/>
          <w:lang w:eastAsia="x-none"/>
        </w:rPr>
        <w:t xml:space="preserve">There exist cases where UE performs full sensing in R16/17 normal resource pool and has full sensing result available, but UE has no CBR measurement results and makes use of R16 default CBR for congestion control. </w:t>
      </w:r>
    </w:p>
    <w:p w14:paraId="13BE573A" w14:textId="77777777" w:rsidR="00390F36" w:rsidRPr="00A6576F" w:rsidRDefault="00390F36" w:rsidP="00390F36">
      <w:pPr>
        <w:pStyle w:val="Heading1"/>
      </w:pPr>
      <w:r w:rsidRPr="00A6576F">
        <w:t>References</w:t>
      </w:r>
    </w:p>
    <w:p w14:paraId="7A35980B" w14:textId="1C3BFD14" w:rsidR="000F2AA7" w:rsidRDefault="00390F36" w:rsidP="00B956DF">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2C3195">
        <w:rPr>
          <w:sz w:val="24"/>
          <w:szCs w:val="24"/>
        </w:rPr>
        <w:t>R</w:t>
      </w:r>
      <w:r w:rsidR="008E4BD2" w:rsidRPr="002C3195">
        <w:rPr>
          <w:sz w:val="24"/>
          <w:szCs w:val="24"/>
        </w:rPr>
        <w:t>2</w:t>
      </w:r>
      <w:r w:rsidRPr="002C3195">
        <w:rPr>
          <w:sz w:val="24"/>
          <w:szCs w:val="24"/>
        </w:rPr>
        <w:t>-2</w:t>
      </w:r>
      <w:r w:rsidR="008E4BD2" w:rsidRPr="002C3195">
        <w:rPr>
          <w:sz w:val="24"/>
          <w:szCs w:val="24"/>
        </w:rPr>
        <w:t>2</w:t>
      </w:r>
      <w:r w:rsidR="00B956DF">
        <w:rPr>
          <w:sz w:val="24"/>
          <w:szCs w:val="24"/>
        </w:rPr>
        <w:t>13168</w:t>
      </w:r>
      <w:r w:rsidRPr="002C3195">
        <w:rPr>
          <w:sz w:val="24"/>
          <w:szCs w:val="24"/>
        </w:rPr>
        <w:t>, “</w:t>
      </w:r>
      <w:bookmarkStart w:id="4" w:name="_Hlk506457506"/>
      <w:bookmarkStart w:id="5" w:name="_Hlk42070541"/>
      <w:r w:rsidR="00B956DF">
        <w:rPr>
          <w:sz w:val="24"/>
          <w:szCs w:val="24"/>
        </w:rPr>
        <w:t xml:space="preserve">Reply </w:t>
      </w:r>
      <w:r w:rsidRPr="002C3195">
        <w:rPr>
          <w:sz w:val="24"/>
          <w:szCs w:val="24"/>
        </w:rPr>
        <w:t xml:space="preserve">LS </w:t>
      </w:r>
      <w:r w:rsidR="00B956DF">
        <w:rPr>
          <w:sz w:val="24"/>
          <w:szCs w:val="24"/>
        </w:rPr>
        <w:t xml:space="preserve">to RAN1 </w:t>
      </w:r>
      <w:r w:rsidRPr="002C3195">
        <w:rPr>
          <w:sz w:val="24"/>
          <w:szCs w:val="24"/>
        </w:rPr>
        <w:t xml:space="preserve">on </w:t>
      </w:r>
      <w:bookmarkEnd w:id="0"/>
      <w:bookmarkEnd w:id="4"/>
      <w:bookmarkEnd w:id="5"/>
      <w:r w:rsidR="002C3195" w:rsidRPr="002C3195">
        <w:rPr>
          <w:sz w:val="24"/>
          <w:szCs w:val="24"/>
        </w:rPr>
        <w:t>default CBR configuration</w:t>
      </w:r>
      <w:r w:rsidRPr="002C3195">
        <w:rPr>
          <w:sz w:val="24"/>
          <w:szCs w:val="24"/>
        </w:rPr>
        <w:t xml:space="preserve">,” </w:t>
      </w:r>
      <w:r w:rsidR="00B956DF">
        <w:rPr>
          <w:sz w:val="24"/>
          <w:szCs w:val="24"/>
        </w:rPr>
        <w:t>Nov.</w:t>
      </w:r>
      <w:r w:rsidRPr="002C3195">
        <w:rPr>
          <w:sz w:val="24"/>
          <w:szCs w:val="24"/>
        </w:rPr>
        <w:t xml:space="preserve"> 202</w:t>
      </w:r>
      <w:r w:rsidR="008E4BD2" w:rsidRPr="002C3195">
        <w:rPr>
          <w:sz w:val="24"/>
          <w:szCs w:val="24"/>
        </w:rPr>
        <w:t>2</w:t>
      </w:r>
      <w:r w:rsidRPr="002C3195">
        <w:rPr>
          <w:sz w:val="24"/>
          <w:szCs w:val="24"/>
        </w:rPr>
        <w:t>.</w:t>
      </w:r>
      <w:bookmarkEnd w:id="1"/>
      <w:r w:rsidRPr="002C3195">
        <w:rPr>
          <w:sz w:val="24"/>
          <w:szCs w:val="24"/>
        </w:rPr>
        <w:t xml:space="preserve"> </w:t>
      </w:r>
      <w:bookmarkEnd w:id="2"/>
      <w:bookmarkEnd w:id="3"/>
    </w:p>
    <w:p w14:paraId="192915AD" w14:textId="56E7A19F" w:rsidR="00F43811" w:rsidRPr="00491CC4" w:rsidRDefault="00F43811" w:rsidP="00F43811">
      <w:pPr>
        <w:numPr>
          <w:ilvl w:val="0"/>
          <w:numId w:val="5"/>
        </w:numPr>
        <w:tabs>
          <w:tab w:val="clear" w:pos="657"/>
        </w:tabs>
        <w:spacing w:before="100" w:beforeAutospacing="1" w:after="120"/>
        <w:ind w:left="562" w:hanging="562"/>
        <w:jc w:val="both"/>
        <w:rPr>
          <w:sz w:val="24"/>
          <w:szCs w:val="24"/>
        </w:rPr>
      </w:pPr>
      <w:bookmarkStart w:id="6" w:name="_Ref118042266"/>
      <w:r w:rsidRPr="00491CC4">
        <w:rPr>
          <w:sz w:val="24"/>
          <w:szCs w:val="24"/>
          <w:lang w:val="en-US"/>
        </w:rPr>
        <w:t>3GPP TR 38.214, NR; Physical layer procedures for data, v17.4.0, Jan. 2023.</w:t>
      </w:r>
      <w:bookmarkEnd w:id="6"/>
      <w:r w:rsidRPr="00491CC4">
        <w:rPr>
          <w:sz w:val="24"/>
          <w:szCs w:val="24"/>
          <w:lang w:val="en-US"/>
        </w:rPr>
        <w:t xml:space="preserve"> </w:t>
      </w:r>
      <w:bookmarkStart w:id="7" w:name="_Ref126161714"/>
      <w:bookmarkStart w:id="8" w:name="_Ref125995259"/>
    </w:p>
    <w:p w14:paraId="70FA3699" w14:textId="34CDFA38" w:rsidR="00AD4347" w:rsidRPr="00A365D9" w:rsidRDefault="00862671" w:rsidP="00AD4347">
      <w:pPr>
        <w:numPr>
          <w:ilvl w:val="0"/>
          <w:numId w:val="5"/>
        </w:numPr>
        <w:tabs>
          <w:tab w:val="clear" w:pos="657"/>
        </w:tabs>
        <w:spacing w:before="100" w:beforeAutospacing="1" w:after="120"/>
        <w:ind w:left="562" w:hanging="562"/>
        <w:jc w:val="both"/>
        <w:rPr>
          <w:sz w:val="24"/>
          <w:szCs w:val="24"/>
        </w:rPr>
      </w:pPr>
      <w:bookmarkStart w:id="9" w:name="_Ref126338945"/>
      <w:bookmarkEnd w:id="7"/>
      <w:r w:rsidRPr="00A365D9">
        <w:rPr>
          <w:sz w:val="24"/>
          <w:szCs w:val="24"/>
        </w:rPr>
        <w:t>R1-230</w:t>
      </w:r>
      <w:r w:rsidR="00A365D9">
        <w:rPr>
          <w:sz w:val="24"/>
          <w:szCs w:val="24"/>
        </w:rPr>
        <w:t>1323</w:t>
      </w:r>
      <w:r w:rsidRPr="00A365D9">
        <w:rPr>
          <w:sz w:val="24"/>
          <w:szCs w:val="24"/>
        </w:rPr>
        <w:t>, “Draft Reply LS to RAN2 on default CBR configuration,” Feb. 2023.</w:t>
      </w:r>
      <w:bookmarkEnd w:id="8"/>
      <w:bookmarkEnd w:id="9"/>
    </w:p>
    <w:sectPr w:rsidR="00AD4347" w:rsidRPr="00A365D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841E" w14:textId="77777777" w:rsidR="004A10F4" w:rsidRDefault="004A10F4">
      <w:r>
        <w:separator/>
      </w:r>
    </w:p>
  </w:endnote>
  <w:endnote w:type="continuationSeparator" w:id="0">
    <w:p w14:paraId="4CA2ECC3" w14:textId="77777777" w:rsidR="004A10F4" w:rsidRDefault="004A10F4">
      <w:r>
        <w:continuationSeparator/>
      </w:r>
    </w:p>
  </w:endnote>
  <w:endnote w:type="continuationNotice" w:id="1">
    <w:p w14:paraId="42FD5276" w14:textId="77777777" w:rsidR="004A10F4" w:rsidRDefault="004A1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6A99" w14:textId="77777777" w:rsidR="004A10F4" w:rsidRDefault="004A10F4">
      <w:r>
        <w:separator/>
      </w:r>
    </w:p>
  </w:footnote>
  <w:footnote w:type="continuationSeparator" w:id="0">
    <w:p w14:paraId="6B80913A" w14:textId="77777777" w:rsidR="004A10F4" w:rsidRDefault="004A10F4">
      <w:r>
        <w:continuationSeparator/>
      </w:r>
    </w:p>
  </w:footnote>
  <w:footnote w:type="continuationNotice" w:id="1">
    <w:p w14:paraId="2C1816EF" w14:textId="77777777" w:rsidR="004A10F4" w:rsidRDefault="004A10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9118335">
    <w:abstractNumId w:val="7"/>
  </w:num>
  <w:num w:numId="2" w16cid:durableId="1798985130">
    <w:abstractNumId w:val="8"/>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12"/>
  </w:num>
  <w:num w:numId="8" w16cid:durableId="138037242">
    <w:abstractNumId w:val="10"/>
  </w:num>
  <w:num w:numId="9" w16cid:durableId="399445388">
    <w:abstractNumId w:val="14"/>
  </w:num>
  <w:num w:numId="10" w16cid:durableId="134227536">
    <w:abstractNumId w:val="5"/>
  </w:num>
  <w:num w:numId="11" w16cid:durableId="2171293">
    <w:abstractNumId w:val="9"/>
  </w:num>
  <w:num w:numId="12" w16cid:durableId="490175065">
    <w:abstractNumId w:val="17"/>
  </w:num>
  <w:num w:numId="13" w16cid:durableId="717704263">
    <w:abstractNumId w:val="6"/>
  </w:num>
  <w:num w:numId="14" w16cid:durableId="419257155">
    <w:abstractNumId w:val="11"/>
  </w:num>
  <w:num w:numId="15" w16cid:durableId="1101293150">
    <w:abstractNumId w:val="15"/>
  </w:num>
  <w:num w:numId="16" w16cid:durableId="929386166">
    <w:abstractNumId w:val="16"/>
  </w:num>
  <w:num w:numId="17" w16cid:durableId="1872182528">
    <w:abstractNumId w:val="4"/>
  </w:num>
  <w:num w:numId="18" w16cid:durableId="198491966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D98"/>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0B7B"/>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C792E"/>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3A"/>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687"/>
    <w:rsid w:val="00EE2A61"/>
    <w:rsid w:val="00EE3663"/>
    <w:rsid w:val="00EE41C4"/>
    <w:rsid w:val="00EE58C9"/>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3811"/>
    <w:rsid w:val="00F45693"/>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4AB"/>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2023-02-17T04:17:00Z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